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REVISIÓN EDITORIAL INICIAL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del artículo: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 de recepción: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 del informe: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720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¿Encaja el manuscrito dentro de la temática de la revista? ¿Puede ser de interés para el lector de esta publicación?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720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¿Es mínimamente aceptable la calidad del manuscrito? ¿Resulta el contenido y el estilo del manuscrito lo suficientemente buenos para ser considerada su publicación?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720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¿Cumple el manuscrito y el autor con las instrucciones y normas detalladas para el envío de propuestas?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20"/>
        </w:tabs>
        <w:ind w:left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20"/>
        </w:tabs>
        <w:ind w:right="-15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20"/>
        </w:tabs>
        <w:ind w:right="-15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720"/>
        </w:tabs>
        <w:ind w:right="-15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20"/>
        </w:tabs>
        <w:ind w:right="-15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20"/>
        </w:tabs>
        <w:ind w:right="-15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720"/>
        </w:tabs>
        <w:ind w:left="720" w:right="-154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Otros comentarios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720"/>
        </w:tabs>
        <w:ind w:right="-15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720"/>
        </w:tabs>
        <w:ind w:right="-15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20"/>
        </w:tabs>
        <w:ind w:right="-15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20"/>
        </w:tabs>
        <w:ind w:right="-15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720"/>
        </w:tabs>
        <w:ind w:right="-15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720"/>
        </w:tabs>
        <w:ind w:right="-15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720"/>
        </w:tabs>
        <w:ind w:left="720" w:right="-154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Conclusión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4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426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[  ]</w:t>
        <w:tab/>
        <w:t xml:space="preserve"> el artículo debe ser revisado anónimamente por pares, y considerada su publicación.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426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[  ]</w:t>
        <w:tab/>
        <w:t xml:space="preserve"> el artículo no debe ser anónimamente revisado por pares, y por tanto debe ser rechazado. </w:t>
      </w:r>
    </w:p>
    <w:sectPr>
      <w:footerReference r:id="rId6" w:type="default"/>
      <w:footerReference r:id="rId7" w:type="even"/>
      <w:pgSz w:h="16838" w:w="11906"/>
      <w:pgMar w:bottom="1440" w:top="1440" w:left="1800" w:right="180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❑"/>
      <w:lvlJc w:val="left"/>
      <w:pPr>
        <w:ind w:left="216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2">
      <w:start w:val="0"/>
      <w:numFmt w:val="bullet"/>
      <w:lvlText w:val="-"/>
      <w:lvlJc w:val="left"/>
      <w:pPr>
        <w:ind w:left="2880" w:hanging="360"/>
      </w:pPr>
      <w:rPr>
        <w:rFonts w:ascii="Times New Roman" w:cs="Times New Roman" w:eastAsia="Times New Roman" w:hAnsi="Times New Roman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ind w:left="1080" w:hanging="1080"/>
    </w:pPr>
    <w:rPr>
      <w:rFonts w:ascii="Times New Roman" w:cs="Times New Roman" w:eastAsia="Times New Roman" w:hAnsi="Times New Roman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